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CB5A" w14:textId="6CAE5727" w:rsidR="00677490" w:rsidRPr="00677490" w:rsidRDefault="00677490" w:rsidP="00677490">
      <w:pPr>
        <w:shd w:val="clear" w:color="auto" w:fill="FFFFFF"/>
        <w:jc w:val="center"/>
        <w:rPr>
          <w:rFonts w:ascii="Montserrat" w:eastAsia="Times New Roman" w:hAnsi="Montserrat" w:cs="Times New Roman"/>
          <w:b/>
          <w:bCs/>
          <w:color w:val="111111"/>
          <w:sz w:val="36"/>
          <w:szCs w:val="36"/>
          <w:lang w:eastAsia="es-MX"/>
        </w:rPr>
      </w:pPr>
      <w:r w:rsidRPr="00677490">
        <w:rPr>
          <w:rFonts w:ascii="Montserrat" w:eastAsia="Times New Roman" w:hAnsi="Montserrat" w:cs="Times New Roman"/>
          <w:b/>
          <w:bCs/>
          <w:color w:val="111111"/>
          <w:sz w:val="36"/>
          <w:szCs w:val="36"/>
          <w:lang w:eastAsia="es-MX"/>
        </w:rPr>
        <w:t>Catolicismo de la Iglesia Católica</w:t>
      </w:r>
    </w:p>
    <w:p w14:paraId="34825B63" w14:textId="77777777" w:rsidR="00677490" w:rsidRPr="00677490" w:rsidRDefault="00677490" w:rsidP="00677490">
      <w:pPr>
        <w:shd w:val="clear" w:color="auto" w:fill="FFFFFF"/>
        <w:jc w:val="both"/>
        <w:rPr>
          <w:rFonts w:ascii="Montserrat" w:eastAsia="Times New Roman" w:hAnsi="Montserrat" w:cs="Times New Roman"/>
          <w:b/>
          <w:bCs/>
          <w:color w:val="111111"/>
          <w:sz w:val="36"/>
          <w:szCs w:val="36"/>
          <w:lang w:eastAsia="es-MX"/>
        </w:rPr>
      </w:pPr>
    </w:p>
    <w:p w14:paraId="7E829848" w14:textId="4AA9EBD3" w:rsidR="00677490" w:rsidRPr="00677490" w:rsidRDefault="00677490" w:rsidP="00677490">
      <w:pPr>
        <w:shd w:val="clear" w:color="auto" w:fill="FFFFFF"/>
        <w:jc w:val="both"/>
        <w:rPr>
          <w:rFonts w:ascii="Montserrat" w:eastAsia="Times New Roman" w:hAnsi="Montserrat" w:cs="Times New Roman"/>
          <w:b/>
          <w:bCs/>
          <w:color w:val="111111"/>
          <w:sz w:val="27"/>
          <w:szCs w:val="27"/>
          <w:lang w:eastAsia="es-MX"/>
        </w:rPr>
      </w:pPr>
      <w:r w:rsidRPr="00677490">
        <w:rPr>
          <w:rFonts w:ascii="Montserrat" w:eastAsia="Times New Roman" w:hAnsi="Montserrat" w:cs="Times New Roman"/>
          <w:b/>
          <w:bCs/>
          <w:color w:val="111111"/>
          <w:sz w:val="27"/>
          <w:szCs w:val="27"/>
          <w:lang w:eastAsia="es-MX"/>
        </w:rPr>
        <w:t>La guía está compuesta por 33 temas. En ellos, todos los números del Compendio son presentados, así como las imágenes y las oraciones finales, invitando a su lectura.</w:t>
      </w:r>
    </w:p>
    <w:p w14:paraId="731910E4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La promulgación del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Compendio 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del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Catecismo de la Iglesia Católica 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por el papa Benedicto XVI, como síntesis fiel y segura del Catecismo, constituye un nuevo impulso para la educación en la fe, pues en él se presentan con brevedad, claridad e integridad los elementos esenciales y fundamentales de la fe de la Iglesia (cf.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Motu Propio). 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La importancia de este valioso instrumento que es el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Compendio 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nos ha impulsado a realizar esta guía para su lectura y estudio tanto personal como en grupo.</w:t>
      </w:r>
    </w:p>
    <w:p w14:paraId="23A9FC15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La guía está compuesta por 33 temas. En ellos, todos los números del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Compendio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 son presentados, así como las imágenes y las oraciones finales, invitando a su lectura. Por lo tanto el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 Compendio 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debe tenerse a mano, tanto en los momentos de trabajo en grupo, como en los momentos de lectura personal. Con esta guía todo el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Compendio 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puede ser leído, profundizado y llevado a la vida a la vez que puede ser considerado como una referencia permanente para la vida cristiana.</w:t>
      </w:r>
    </w:p>
    <w:p w14:paraId="4B3871D8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Estos 33 temas están estructurados según las cuatro partes del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Catecismo de la Iglesia Católica 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y su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Compendio:</w:t>
      </w:r>
    </w:p>
    <w:p w14:paraId="4F74387F" w14:textId="77777777" w:rsidR="00677490" w:rsidRPr="00677490" w:rsidRDefault="00677490" w:rsidP="006774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La profesión de la fe cristiana</w:t>
      </w:r>
    </w:p>
    <w:p w14:paraId="38A82F7D" w14:textId="77777777" w:rsidR="00677490" w:rsidRPr="00677490" w:rsidRDefault="00677490" w:rsidP="006774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La celebración del Misterio cristiano</w:t>
      </w:r>
    </w:p>
    <w:p w14:paraId="27328F9A" w14:textId="77777777" w:rsidR="00677490" w:rsidRPr="00677490" w:rsidRDefault="00677490" w:rsidP="006774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La vida de Cristo</w:t>
      </w:r>
    </w:p>
    <w:p w14:paraId="59BBBB78" w14:textId="77777777" w:rsidR="00677490" w:rsidRPr="00677490" w:rsidRDefault="00677490" w:rsidP="006774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La oración cristiana</w:t>
      </w:r>
    </w:p>
    <w:p w14:paraId="1213D119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En cada uno de los temas se desarrolla cinco apartados que confieren una gran unidad. Las partes de cada tema son estas:</w:t>
      </w:r>
    </w:p>
    <w:p w14:paraId="1D497224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es-MX"/>
        </w:rPr>
        <w:t>1. Introducción.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 Con los siguientes apartados:</w:t>
      </w:r>
    </w:p>
    <w:p w14:paraId="25ACA28D" w14:textId="77777777" w:rsidR="00677490" w:rsidRPr="00677490" w:rsidRDefault="00677490" w:rsidP="006774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Reflexión de motivación.</w:t>
      </w:r>
    </w:p>
    <w:p w14:paraId="6AE4BC09" w14:textId="77777777" w:rsidR="00677490" w:rsidRPr="00677490" w:rsidRDefault="00677490" w:rsidP="006774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La Palabra de Dios.</w:t>
      </w:r>
    </w:p>
    <w:p w14:paraId="640E83AD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es-MX"/>
        </w:rPr>
        <w:t>2. Exposición de la fe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. En el que se desarrolla el contenido del tema.</w:t>
      </w:r>
    </w:p>
    <w:p w14:paraId="1BDE7EF5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es-MX"/>
        </w:rPr>
        <w:lastRenderedPageBreak/>
        <w:t>3. Para profundizar.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 Con indicaciones útiles para conocer más acerca del tema propuesto.</w:t>
      </w:r>
    </w:p>
    <w:p w14:paraId="41B94130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es-MX"/>
        </w:rPr>
        <w:t>4. Hablar con Dios.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 Con la referencia a una oración contenida en el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Compendio 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y una oración final tomada, en la mayoría de las ocasiones, de la liturgia de la Misa.</w:t>
      </w:r>
    </w:p>
    <w:p w14:paraId="7B06B383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es-MX"/>
        </w:rPr>
        <w:t>5. Preguntas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.</w:t>
      </w:r>
    </w:p>
    <w:p w14:paraId="4B21AA11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Así se estudia el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Compendio 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en el contexto de la Palabra de Dios y de la vida de la Iglesia. Por ello las referencias a la Sagrada Escritura, a textos litúrgicos y al Magisterio de la Iglesia son continuas, dando así unidad a lo que se cree y se vive.</w:t>
      </w:r>
    </w:p>
    <w:p w14:paraId="65862338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Está diseñado en unidades y puede ser trabajado en grupo. Cada persona debe contar con el material correspondiente a un encuentro y con el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Compendio. 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Será necesario leer en voz alta puntos del 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Compendio, 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textos introductorios y oraciones, y así se fomentará una participación activa de los miembros del grupo.</w:t>
      </w:r>
    </w:p>
    <w:p w14:paraId="6601FB66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Así pues, esta guí</w:t>
      </w:r>
      <w:r w:rsidRPr="00677490">
        <w:rPr>
          <w:rFonts w:ascii="Tahoma" w:eastAsia="Times New Roman" w:hAnsi="Tahoma" w:cs="Tahoma"/>
          <w:i/>
          <w:iCs/>
          <w:color w:val="111111"/>
          <w:sz w:val="27"/>
          <w:szCs w:val="27"/>
          <w:lang w:eastAsia="es-MX"/>
        </w:rPr>
        <w:t>a </w:t>
      </w: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puede sin duda ser de gran utilidad para los catequistas, ya que éstos encontrarán en este curso un camino de formación permanente y abundantes sugerencias para su vocación y misión al servicio de la fe. También puede ofrecerse para aquellos que se acercan a la Iglesia solicitando el Bautismo y se les propone el catecumenado bautismal. Como tercer grupo de destinatarios señalamos a jóvenes y adultos que se preparan al sacramento de la Confirmación y que encontrarán en este curso una síntesis de fe adecuada para completar el camino de su Iniciación cristiana. Les será igualmente de mucha utilidad a todos aquellos que, en un momento concreto de sus vidas, buscan redescubrir su fe y profundizar en la vida cristiana.</w:t>
      </w:r>
    </w:p>
    <w:p w14:paraId="75167302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Pueden elegirse diversas maneras de desarrollar el trabajo, y cada grupo puede ver la que más se adapte a su situación. Una indicación útil puede ser la de adaptar el trabajo y la reflexión del año litúrgico. Como sugerencia:</w:t>
      </w:r>
    </w:p>
    <w:p w14:paraId="794716B3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lastRenderedPageBreak/>
        <w:t>El último trimestre del año y el Adviento (3-4 semanas), se puede dedicar a temas doctrinales (1 a 14), repartiéndolos con el tiempo después de Pascua.</w:t>
      </w:r>
    </w:p>
    <w:p w14:paraId="373EBE59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Desde Navidad hasta Cuaresma (4 a 8 semanas) y durante la Cuaresma (5 semanas) se pueden estudiar los temas morales (23 a 31).</w:t>
      </w:r>
    </w:p>
    <w:p w14:paraId="7D1936C4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En el tiempo de Pascua (7 semanas) podrían ser más apropiados los temas litúrgicos (15 a 22).</w:t>
      </w:r>
    </w:p>
    <w:p w14:paraId="4B57069F" w14:textId="77777777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Después de Pascua se pueden estudiar los temas doctrinales que aún no se han trabajado.</w:t>
      </w:r>
    </w:p>
    <w:p w14:paraId="21F303D0" w14:textId="77526129" w:rsidR="00677490" w:rsidRPr="00677490" w:rsidRDefault="00677490" w:rsidP="00677490">
      <w:pPr>
        <w:shd w:val="clear" w:color="auto" w:fill="FFFFFF"/>
        <w:spacing w:after="360"/>
        <w:jc w:val="both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r w:rsidRPr="00677490">
        <w:rPr>
          <w:rFonts w:ascii="Tahoma" w:eastAsia="Times New Roman" w:hAnsi="Tahoma" w:cs="Tahoma"/>
          <w:color w:val="111111"/>
          <w:sz w:val="27"/>
          <w:szCs w:val="27"/>
          <w:lang w:eastAsia="es-MX"/>
        </w:rPr>
        <w:t>Los temas dedicados a la oración (32 y 33) pueden tratarse antes de Navidad o antes de Pascua, según los años y semanas disponibles.</w:t>
      </w:r>
    </w:p>
    <w:p w14:paraId="2623111C" w14:textId="1465D6ED" w:rsidR="009F2F1C" w:rsidRPr="009F2F1C" w:rsidRDefault="009F2F1C" w:rsidP="009F2F1C">
      <w:pPr>
        <w:shd w:val="clear" w:color="auto" w:fill="FFFFFF"/>
        <w:spacing w:after="300"/>
        <w:outlineLvl w:val="1"/>
        <w:rPr>
          <w:rFonts w:ascii="Montserrat" w:eastAsia="Times New Roman" w:hAnsi="Montserrat" w:cs="Times New Roman"/>
          <w:b/>
          <w:bCs/>
          <w:color w:val="111111"/>
          <w:sz w:val="36"/>
          <w:szCs w:val="36"/>
          <w:lang w:eastAsia="es-MX"/>
        </w:rPr>
      </w:pPr>
      <w:r w:rsidRPr="009F2F1C">
        <w:rPr>
          <w:rFonts w:ascii="Montserrat" w:eastAsia="Times New Roman" w:hAnsi="Montserrat" w:cs="Times New Roman"/>
          <w:b/>
          <w:bCs/>
          <w:color w:val="111111"/>
          <w:sz w:val="36"/>
          <w:szCs w:val="36"/>
          <w:lang w:eastAsia="es-MX"/>
        </w:rPr>
        <w:t>Programa</w:t>
      </w:r>
    </w:p>
    <w:p w14:paraId="2A54265C" w14:textId="77777777" w:rsidR="009F2F1C" w:rsidRPr="009F2F1C" w:rsidRDefault="00677490" w:rsidP="009F2F1C">
      <w:pPr>
        <w:shd w:val="clear" w:color="auto" w:fill="FFFFFF"/>
        <w:spacing w:after="360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hyperlink r:id="rId5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1. El Compendio y la Nueva Evangelización</w:t>
        </w:r>
      </w:hyperlink>
    </w:p>
    <w:p w14:paraId="795050F7" w14:textId="77777777" w:rsidR="009F2F1C" w:rsidRPr="009F2F1C" w:rsidRDefault="009F2F1C" w:rsidP="009F2F1C">
      <w:pPr>
        <w:shd w:val="clear" w:color="auto" w:fill="FFFFFF"/>
        <w:spacing w:after="300"/>
        <w:outlineLvl w:val="2"/>
        <w:rPr>
          <w:rFonts w:ascii="Montserrat" w:eastAsia="Times New Roman" w:hAnsi="Montserrat" w:cs="Times New Roman"/>
          <w:b/>
          <w:bCs/>
          <w:color w:val="111111"/>
          <w:sz w:val="27"/>
          <w:szCs w:val="27"/>
          <w:lang w:eastAsia="es-MX"/>
        </w:rPr>
      </w:pPr>
      <w:r w:rsidRPr="009F2F1C">
        <w:rPr>
          <w:rFonts w:ascii="Montserrat" w:eastAsia="Times New Roman" w:hAnsi="Montserrat" w:cs="Times New Roman"/>
          <w:b/>
          <w:bCs/>
          <w:color w:val="111111"/>
          <w:sz w:val="27"/>
          <w:szCs w:val="27"/>
          <w:lang w:eastAsia="es-MX"/>
        </w:rPr>
        <w:t>Parte I: La profesión de fe</w:t>
      </w:r>
    </w:p>
    <w:p w14:paraId="193F00C1" w14:textId="77777777" w:rsidR="009F2F1C" w:rsidRPr="009F2F1C" w:rsidRDefault="00677490" w:rsidP="009F2F1C">
      <w:pPr>
        <w:shd w:val="clear" w:color="auto" w:fill="FFFFFF"/>
        <w:spacing w:after="360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hyperlink r:id="rId6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2. El deseo de Dios, la Revelación y la fe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7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3. La Sagrada Escritura en la vida de la Iglesia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8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4. Creo en Dios, Padre, Hijo y Espíritu Santo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9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5. Un Dios creador del mundo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10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6. El hombre y el pecado original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11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7. Creo en Jesucristo, Hijo de Dios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12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8. Creo en Jesucristo, que murió y resucitó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13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9. Creo en el Espíritu Santo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14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10. Creo en la Iglesia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15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11. Una, Santa, Católica y Apostólica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16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12. Cómo es el Pueblo de Dios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17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13. María, Madre de Dios y Madre nuestra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18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14. Creo en la vida eterna</w:t>
        </w:r>
      </w:hyperlink>
    </w:p>
    <w:p w14:paraId="210CAAAE" w14:textId="77777777" w:rsidR="009F2F1C" w:rsidRPr="009F2F1C" w:rsidRDefault="009F2F1C" w:rsidP="009F2F1C">
      <w:pPr>
        <w:shd w:val="clear" w:color="auto" w:fill="FFFFFF"/>
        <w:spacing w:after="300"/>
        <w:outlineLvl w:val="2"/>
        <w:rPr>
          <w:rFonts w:ascii="Montserrat" w:eastAsia="Times New Roman" w:hAnsi="Montserrat" w:cs="Times New Roman"/>
          <w:b/>
          <w:bCs/>
          <w:color w:val="111111"/>
          <w:sz w:val="27"/>
          <w:szCs w:val="27"/>
          <w:lang w:eastAsia="es-MX"/>
        </w:rPr>
      </w:pPr>
      <w:r w:rsidRPr="009F2F1C">
        <w:rPr>
          <w:rFonts w:ascii="Montserrat" w:eastAsia="Times New Roman" w:hAnsi="Montserrat" w:cs="Times New Roman"/>
          <w:b/>
          <w:bCs/>
          <w:color w:val="111111"/>
          <w:sz w:val="27"/>
          <w:szCs w:val="27"/>
          <w:lang w:eastAsia="es-MX"/>
        </w:rPr>
        <w:t>Parte II: La celebración del misterio cristiano</w:t>
      </w:r>
    </w:p>
    <w:p w14:paraId="7DFCA262" w14:textId="77777777" w:rsidR="009F2F1C" w:rsidRPr="009F2F1C" w:rsidRDefault="00677490" w:rsidP="009F2F1C">
      <w:pPr>
        <w:shd w:val="clear" w:color="auto" w:fill="FFFFFF"/>
        <w:spacing w:after="360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hyperlink r:id="rId19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15. La celebración del Misterio Pascual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20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16. El Bautismo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21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17. La Confirmación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22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18. La Eucaristía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23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19. La Penitencia y la Reconciliación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24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20. La Unción de los enfermos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25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21. El Orden Sagrado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26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22. El Matrimonio Cristiano</w:t>
        </w:r>
      </w:hyperlink>
    </w:p>
    <w:p w14:paraId="5FEE8D40" w14:textId="77777777" w:rsidR="009F2F1C" w:rsidRPr="009F2F1C" w:rsidRDefault="009F2F1C" w:rsidP="009F2F1C">
      <w:pPr>
        <w:shd w:val="clear" w:color="auto" w:fill="FFFFFF"/>
        <w:spacing w:after="300"/>
        <w:outlineLvl w:val="2"/>
        <w:rPr>
          <w:rFonts w:ascii="Montserrat" w:eastAsia="Times New Roman" w:hAnsi="Montserrat" w:cs="Times New Roman"/>
          <w:b/>
          <w:bCs/>
          <w:color w:val="111111"/>
          <w:sz w:val="27"/>
          <w:szCs w:val="27"/>
          <w:lang w:eastAsia="es-MX"/>
        </w:rPr>
      </w:pPr>
      <w:r w:rsidRPr="009F2F1C">
        <w:rPr>
          <w:rFonts w:ascii="Montserrat" w:eastAsia="Times New Roman" w:hAnsi="Montserrat" w:cs="Times New Roman"/>
          <w:b/>
          <w:bCs/>
          <w:color w:val="111111"/>
          <w:sz w:val="27"/>
          <w:szCs w:val="27"/>
          <w:lang w:eastAsia="es-MX"/>
        </w:rPr>
        <w:t>Parte III: La vida en Cristo</w:t>
      </w:r>
    </w:p>
    <w:p w14:paraId="5DADAFA2" w14:textId="77777777" w:rsidR="009F2F1C" w:rsidRPr="009F2F1C" w:rsidRDefault="00677490" w:rsidP="009F2F1C">
      <w:pPr>
        <w:shd w:val="clear" w:color="auto" w:fill="FFFFFF"/>
        <w:spacing w:after="360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hyperlink r:id="rId27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23. Bienaventuranza, gracia y libertad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28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24. La conciencia y las virtudes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29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25. La ley, el pecado y los mandamientos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30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26. El amor a Dios (1ero., 2do. y 3er. mandamientos)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31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27. El amor a la familia y la misión en la sociedad (4to. mandamiento)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32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28. El respeto a la vida (5to. mandamiento)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33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29. El amor y las fuentes de la vida (6to. mandamiento)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34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30. El cristiano y los bienes del mundo (7mo. mandamiento)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35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31. Verdad y limpieza de corazón (8vo., 9no. y 10mo. mandamiento)</w:t>
        </w:r>
      </w:hyperlink>
    </w:p>
    <w:p w14:paraId="6B37BC74" w14:textId="77777777" w:rsidR="009F2F1C" w:rsidRPr="009F2F1C" w:rsidRDefault="009F2F1C" w:rsidP="009F2F1C">
      <w:pPr>
        <w:shd w:val="clear" w:color="auto" w:fill="FFFFFF"/>
        <w:spacing w:after="300"/>
        <w:outlineLvl w:val="2"/>
        <w:rPr>
          <w:rFonts w:ascii="Montserrat" w:eastAsia="Times New Roman" w:hAnsi="Montserrat" w:cs="Times New Roman"/>
          <w:b/>
          <w:bCs/>
          <w:color w:val="111111"/>
          <w:sz w:val="27"/>
          <w:szCs w:val="27"/>
          <w:lang w:eastAsia="es-MX"/>
        </w:rPr>
      </w:pPr>
      <w:r w:rsidRPr="009F2F1C">
        <w:rPr>
          <w:rFonts w:ascii="Montserrat" w:eastAsia="Times New Roman" w:hAnsi="Montserrat" w:cs="Times New Roman"/>
          <w:b/>
          <w:bCs/>
          <w:color w:val="111111"/>
          <w:sz w:val="27"/>
          <w:szCs w:val="27"/>
          <w:lang w:eastAsia="es-MX"/>
        </w:rPr>
        <w:t>Parte IV: La oración cristiana</w:t>
      </w:r>
    </w:p>
    <w:p w14:paraId="5445AFD7" w14:textId="77777777" w:rsidR="009F2F1C" w:rsidRPr="009F2F1C" w:rsidRDefault="00677490" w:rsidP="009F2F1C">
      <w:pPr>
        <w:shd w:val="clear" w:color="auto" w:fill="FFFFFF"/>
        <w:spacing w:after="360"/>
        <w:rPr>
          <w:rFonts w:ascii="Tahoma" w:eastAsia="Times New Roman" w:hAnsi="Tahoma" w:cs="Tahoma"/>
          <w:color w:val="111111"/>
          <w:sz w:val="27"/>
          <w:szCs w:val="27"/>
          <w:lang w:eastAsia="es-MX"/>
        </w:rPr>
      </w:pPr>
      <w:hyperlink r:id="rId36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32. Cómo orar</w:t>
        </w:r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br/>
        </w:r>
      </w:hyperlink>
      <w:hyperlink r:id="rId37" w:history="1">
        <w:r w:rsidR="009F2F1C" w:rsidRPr="009F2F1C">
          <w:rPr>
            <w:rFonts w:ascii="Tahoma" w:eastAsia="Times New Roman" w:hAnsi="Tahoma" w:cs="Tahoma"/>
            <w:color w:val="1E73BE"/>
            <w:sz w:val="27"/>
            <w:szCs w:val="27"/>
            <w:u w:val="single"/>
            <w:lang w:eastAsia="es-MX"/>
          </w:rPr>
          <w:t>33. El Padrenuestro</w:t>
        </w:r>
      </w:hyperlink>
    </w:p>
    <w:p w14:paraId="1077B522" w14:textId="77777777" w:rsidR="009F2F1C" w:rsidRPr="009F2F1C" w:rsidRDefault="009F2F1C" w:rsidP="009F2F1C">
      <w:pPr>
        <w:rPr>
          <w:rFonts w:ascii="Times New Roman" w:eastAsia="Times New Roman" w:hAnsi="Times New Roman" w:cs="Times New Roman"/>
          <w:lang w:eastAsia="es-MX"/>
        </w:rPr>
      </w:pPr>
    </w:p>
    <w:p w14:paraId="5B6C8DA6" w14:textId="77777777" w:rsidR="00F87C4B" w:rsidRDefault="00F87C4B"/>
    <w:sectPr w:rsidR="00F87C4B" w:rsidSect="00F11F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2354A"/>
    <w:multiLevelType w:val="multilevel"/>
    <w:tmpl w:val="36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37EAA"/>
    <w:multiLevelType w:val="multilevel"/>
    <w:tmpl w:val="05E0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1C"/>
    <w:rsid w:val="00140718"/>
    <w:rsid w:val="00677490"/>
    <w:rsid w:val="009F2F1C"/>
    <w:rsid w:val="00B1097F"/>
    <w:rsid w:val="00F11F12"/>
    <w:rsid w:val="00F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514A4"/>
  <w15:chartTrackingRefBased/>
  <w15:docId w15:val="{EC0E7DF5-8DE2-8C41-8F3D-AB4C9D07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F2F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F2F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F2F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F2F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F2F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F2F1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77490"/>
    <w:rPr>
      <w:i/>
      <w:iCs/>
    </w:rPr>
  </w:style>
  <w:style w:type="character" w:styleId="Textoennegrita">
    <w:name w:val="Strong"/>
    <w:basedOn w:val="Fuentedeprrafopredeter"/>
    <w:uiPriority w:val="22"/>
    <w:qFormat/>
    <w:rsid w:val="00677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acioncatolica.org/09-creo-en-el-espiritu-santo/" TargetMode="External"/><Relationship Id="rId18" Type="http://schemas.openxmlformats.org/officeDocument/2006/relationships/hyperlink" Target="https://formacioncatolica.org/14-creo-en-la-vida-eterna/" TargetMode="External"/><Relationship Id="rId26" Type="http://schemas.openxmlformats.org/officeDocument/2006/relationships/hyperlink" Target="https://formacioncatolica.org/22-matrimonio-cristiano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formacioncatolica.org/17-la-confirmacion/" TargetMode="External"/><Relationship Id="rId34" Type="http://schemas.openxmlformats.org/officeDocument/2006/relationships/hyperlink" Target="https://formacioncatolica.org/30-el-cristiano-y-los-bienes-del-mundo/" TargetMode="External"/><Relationship Id="rId7" Type="http://schemas.openxmlformats.org/officeDocument/2006/relationships/hyperlink" Target="https://formacioncatolica.org/03-la-sagrada-escritura-en-la-vida-de-la-iglesia/" TargetMode="External"/><Relationship Id="rId12" Type="http://schemas.openxmlformats.org/officeDocument/2006/relationships/hyperlink" Target="https://formacioncatolica.org/08-jesucristo-que-murio-y-resucito/" TargetMode="External"/><Relationship Id="rId17" Type="http://schemas.openxmlformats.org/officeDocument/2006/relationships/hyperlink" Target="https://formacioncatolica.org/13-maria-madre-de-dios/" TargetMode="External"/><Relationship Id="rId25" Type="http://schemas.openxmlformats.org/officeDocument/2006/relationships/hyperlink" Target="https://formacioncatolica.org/21-orden-sagrado/" TargetMode="External"/><Relationship Id="rId33" Type="http://schemas.openxmlformats.org/officeDocument/2006/relationships/hyperlink" Target="https://formacioncatolica.org/29-el-amor-y-las-fuentes-de-la-vida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acioncatolica.org/12-como-es-el-pueblo-de-dios/" TargetMode="External"/><Relationship Id="rId20" Type="http://schemas.openxmlformats.org/officeDocument/2006/relationships/hyperlink" Target="https://formacioncatolica.org/16-el-bautismo/" TargetMode="External"/><Relationship Id="rId29" Type="http://schemas.openxmlformats.org/officeDocument/2006/relationships/hyperlink" Target="https://formacioncatolica.org/25-la-ley-el-pecado-y-los-mandamiento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acioncatolica.org/02-el-deseo-de-dios-la-revelacion-y-la-fe/" TargetMode="External"/><Relationship Id="rId11" Type="http://schemas.openxmlformats.org/officeDocument/2006/relationships/hyperlink" Target="https://formacioncatolica.org/07-creo-en-jesucristo-hijo-de-dios/" TargetMode="External"/><Relationship Id="rId24" Type="http://schemas.openxmlformats.org/officeDocument/2006/relationships/hyperlink" Target="https://formacioncatolica.org/20-uncion-de-los-enfermos/" TargetMode="External"/><Relationship Id="rId32" Type="http://schemas.openxmlformats.org/officeDocument/2006/relationships/hyperlink" Target="https://formacioncatolica.org/028-el-respeto-a-la-vida/" TargetMode="External"/><Relationship Id="rId37" Type="http://schemas.openxmlformats.org/officeDocument/2006/relationships/hyperlink" Target="https://formacioncatolica.org/33-el-padrenuestro/" TargetMode="External"/><Relationship Id="rId5" Type="http://schemas.openxmlformats.org/officeDocument/2006/relationships/hyperlink" Target="https://formacioncatolica.org/01-el-compendio-del-catecismo/" TargetMode="External"/><Relationship Id="rId15" Type="http://schemas.openxmlformats.org/officeDocument/2006/relationships/hyperlink" Target="https://formacioncatolica.org/11-una-santa-catolica-y-apostolica/" TargetMode="External"/><Relationship Id="rId23" Type="http://schemas.openxmlformats.org/officeDocument/2006/relationships/hyperlink" Target="https://formacioncatolica.org/19-la-penitencia/" TargetMode="External"/><Relationship Id="rId28" Type="http://schemas.openxmlformats.org/officeDocument/2006/relationships/hyperlink" Target="https://formacioncatolica.org/24-la-consciencia-y-las-virtudes/" TargetMode="External"/><Relationship Id="rId36" Type="http://schemas.openxmlformats.org/officeDocument/2006/relationships/hyperlink" Target="https://formacioncatolica.org/32-como-orar/" TargetMode="External"/><Relationship Id="rId10" Type="http://schemas.openxmlformats.org/officeDocument/2006/relationships/hyperlink" Target="https://formacioncatolica.org/06-el-hombre-y-el-pecado-original/" TargetMode="External"/><Relationship Id="rId19" Type="http://schemas.openxmlformats.org/officeDocument/2006/relationships/hyperlink" Target="https://formacioncatolica.org/15-la-celebracion-del-misterio-pascual/" TargetMode="External"/><Relationship Id="rId31" Type="http://schemas.openxmlformats.org/officeDocument/2006/relationships/hyperlink" Target="https://formacioncatolica.org/27-el-amor-a-la-familia-y-la-mision-en-la-socie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acioncatolica.org/05-un-dios-creador-del-mundo/" TargetMode="External"/><Relationship Id="rId14" Type="http://schemas.openxmlformats.org/officeDocument/2006/relationships/hyperlink" Target="https://formacioncatolica.org/10-creo-en-la-iglesia/" TargetMode="External"/><Relationship Id="rId22" Type="http://schemas.openxmlformats.org/officeDocument/2006/relationships/hyperlink" Target="https://formacioncatolica.org/18-la-eucaristia/" TargetMode="External"/><Relationship Id="rId27" Type="http://schemas.openxmlformats.org/officeDocument/2006/relationships/hyperlink" Target="https://formacioncatolica.org/23-bienaventuranza-gracia-y-libertad/" TargetMode="External"/><Relationship Id="rId30" Type="http://schemas.openxmlformats.org/officeDocument/2006/relationships/hyperlink" Target="https://formacioncatolica.org/26-el-amor-a-dios/" TargetMode="External"/><Relationship Id="rId35" Type="http://schemas.openxmlformats.org/officeDocument/2006/relationships/hyperlink" Target="https://formacioncatolica.org/31-verdad-y-limpieza-de-corazon/" TargetMode="External"/><Relationship Id="rId8" Type="http://schemas.openxmlformats.org/officeDocument/2006/relationships/hyperlink" Target="https://formacioncatolica.org/04-creo-en-dios-padre-hijo-y-espiritu-santo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1224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Albeiro Cuesta Mena</dc:creator>
  <cp:keywords/>
  <dc:description/>
  <cp:lastModifiedBy>Jose Albeiro Cuesta Mena</cp:lastModifiedBy>
  <cp:revision>2</cp:revision>
  <dcterms:created xsi:type="dcterms:W3CDTF">2021-05-29T18:55:00Z</dcterms:created>
  <dcterms:modified xsi:type="dcterms:W3CDTF">2021-05-29T19:07:00Z</dcterms:modified>
</cp:coreProperties>
</file>